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5" w:rsidRPr="00227A27" w:rsidRDefault="00506D05" w:rsidP="00506D05">
      <w:pPr>
        <w:pStyle w:val="Heading1"/>
        <w:jc w:val="center"/>
        <w:rPr>
          <w:b/>
          <w:sz w:val="44"/>
          <w:szCs w:val="44"/>
        </w:rPr>
      </w:pPr>
      <w:r w:rsidRPr="00227A27">
        <w:rPr>
          <w:b/>
          <w:sz w:val="44"/>
          <w:szCs w:val="44"/>
        </w:rPr>
        <w:t xml:space="preserve">Quit’s </w:t>
      </w:r>
      <w:r>
        <w:rPr>
          <w:b/>
          <w:sz w:val="44"/>
          <w:szCs w:val="44"/>
        </w:rPr>
        <w:t xml:space="preserve">Plan, Do, Study, Act (PDSA) cycle </w:t>
      </w:r>
      <w:r w:rsidRPr="00227A27">
        <w:rPr>
          <w:b/>
          <w:sz w:val="44"/>
          <w:szCs w:val="44"/>
        </w:rPr>
        <w:t>– FAQs</w:t>
      </w:r>
    </w:p>
    <w:p w:rsidR="00506D05" w:rsidRDefault="00506D05" w:rsidP="00506D05">
      <w:pPr>
        <w:jc w:val="center"/>
        <w:rPr>
          <w:i/>
        </w:rPr>
      </w:pPr>
    </w:p>
    <w:p w:rsidR="00506D05" w:rsidRDefault="000A4014" w:rsidP="00D87D11">
      <w:pPr>
        <w:pStyle w:val="Heading2"/>
        <w:rPr>
          <w:b/>
        </w:rPr>
      </w:pPr>
      <w:r w:rsidRPr="00D87D11">
        <w:rPr>
          <w:b/>
        </w:rPr>
        <w:t xml:space="preserve">What is a Plan, Do, Study, Act (PDSA) cycle? </w:t>
      </w:r>
    </w:p>
    <w:p w:rsidR="00D87D11" w:rsidRPr="00D87D11" w:rsidRDefault="00D87D11" w:rsidP="00D87D11">
      <w:r w:rsidRPr="00D87D11">
        <w:t>PDSA cycles are designed to improve the quality of care provided to patients</w:t>
      </w:r>
      <w:r>
        <w:t xml:space="preserve">. </w:t>
      </w:r>
      <w:r w:rsidRPr="00D87D11">
        <w:t>The PDSA method takes a ‘trial and learning’ approach – starting with small changes that can then be routinely implemented in practice on a larger scale</w:t>
      </w:r>
      <w:r w:rsidR="00BB412A">
        <w:t xml:space="preserve">. </w:t>
      </w:r>
      <w:r w:rsidRPr="00D87D11">
        <w:t xml:space="preserve"> </w:t>
      </w:r>
    </w:p>
    <w:p w:rsidR="00D87D11" w:rsidRDefault="00D87D11" w:rsidP="00D87D11">
      <w:r w:rsidRPr="00D87D11">
        <w:t>Individual GPs or practice/multidisciplinary teams can undertake PDSA cycles, either aimed at:</w:t>
      </w:r>
    </w:p>
    <w:p w:rsidR="00D87D11" w:rsidRPr="00D87D11" w:rsidRDefault="00D87D11" w:rsidP="00D87D11">
      <w:pPr>
        <w:pStyle w:val="ListParagraph"/>
        <w:numPr>
          <w:ilvl w:val="0"/>
          <w:numId w:val="3"/>
        </w:numPr>
      </w:pPr>
      <w:r w:rsidRPr="00D87D11">
        <w:t>Improving practice through systems and processes, or</w:t>
      </w:r>
    </w:p>
    <w:p w:rsidR="00D87D11" w:rsidRPr="00D87D11" w:rsidRDefault="00D87D11" w:rsidP="00D87D11">
      <w:pPr>
        <w:pStyle w:val="ListParagraph"/>
        <w:numPr>
          <w:ilvl w:val="0"/>
          <w:numId w:val="3"/>
        </w:numPr>
      </w:pPr>
      <w:r w:rsidRPr="00D87D11">
        <w:t xml:space="preserve">Improving individual skills and knowledge </w:t>
      </w:r>
    </w:p>
    <w:p w:rsidR="00D87D11" w:rsidRPr="00D87D11" w:rsidRDefault="00D87D11" w:rsidP="00D87D11">
      <w:r w:rsidRPr="00D87D11">
        <w:t xml:space="preserve">Read more about PDSA cycles in the RACGP QI&amp;CPD </w:t>
      </w:r>
      <w:r w:rsidR="00BB412A">
        <w:t>P</w:t>
      </w:r>
      <w:r w:rsidRPr="00D87D11">
        <w:t>rogram Handbook for general practitioners (2017-2019</w:t>
      </w:r>
      <w:r>
        <w:t>)</w:t>
      </w:r>
      <w:r w:rsidRPr="00D87D11">
        <w:t xml:space="preserve">:  </w:t>
      </w:r>
      <w:hyperlink r:id="rId5" w:history="1">
        <w:r w:rsidRPr="0072420E">
          <w:rPr>
            <w:rStyle w:val="Hyperlink"/>
          </w:rPr>
          <w:t>https://www.racgp.org.au/education/professional-development/qi-cpd/about</w:t>
        </w:r>
      </w:hyperlink>
      <w:r>
        <w:t xml:space="preserve"> </w:t>
      </w:r>
    </w:p>
    <w:p w:rsidR="000A4014" w:rsidRDefault="000A4014" w:rsidP="00D87D11">
      <w:pPr>
        <w:pStyle w:val="Heading2"/>
        <w:rPr>
          <w:b/>
        </w:rPr>
      </w:pPr>
      <w:r w:rsidRPr="00D87D11">
        <w:rPr>
          <w:b/>
        </w:rPr>
        <w:t xml:space="preserve">What is the PDSA for smoking cessation? </w:t>
      </w:r>
    </w:p>
    <w:p w:rsidR="00D87D11" w:rsidRDefault="00D87D11" w:rsidP="00950AD2">
      <w:r w:rsidRPr="00D87D11">
        <w:t xml:space="preserve">The PDSA for smoking cessation has been designed by Quit, in collaboration with Gippsland PHN and with input from health professionals. It consists of </w:t>
      </w:r>
      <w:r w:rsidR="00950AD2">
        <w:t>four</w:t>
      </w:r>
      <w:r w:rsidRPr="00D87D11">
        <w:t xml:space="preserve"> cycles</w:t>
      </w:r>
      <w:r w:rsidR="000202F2">
        <w:t xml:space="preserve"> (see below)</w:t>
      </w:r>
      <w:r w:rsidRPr="00D87D11">
        <w:t>, each designed to assist GPs and their practice team to embed best practice, evidence-based smoking cessation activities as part of routine care</w:t>
      </w:r>
      <w:r w:rsidR="00950AD2">
        <w:t xml:space="preserve">. </w:t>
      </w:r>
    </w:p>
    <w:p w:rsidR="00950AD2" w:rsidRPr="00950AD2" w:rsidRDefault="00950AD2" w:rsidP="00950AD2">
      <w:pPr>
        <w:rPr>
          <w:i/>
        </w:rPr>
      </w:pPr>
      <w:r w:rsidRPr="00950AD2">
        <w:rPr>
          <w:i/>
        </w:rPr>
        <w:t>Cycle 1: Review new and emerging literature on tobacco and smoking cessation and complete</w:t>
      </w:r>
      <w:r w:rsidR="00F75941">
        <w:rPr>
          <w:i/>
        </w:rPr>
        <w:t xml:space="preserve"> Quit’s</w:t>
      </w:r>
      <w:r w:rsidRPr="00950AD2">
        <w:rPr>
          <w:i/>
        </w:rPr>
        <w:t xml:space="preserve"> </w:t>
      </w:r>
      <w:r w:rsidR="00F75941">
        <w:rPr>
          <w:i/>
        </w:rPr>
        <w:t xml:space="preserve">online brief advice training for general practitioners </w:t>
      </w:r>
    </w:p>
    <w:p w:rsidR="00950AD2" w:rsidRPr="00950AD2" w:rsidRDefault="00950AD2" w:rsidP="00950AD2">
      <w:pPr>
        <w:rPr>
          <w:i/>
        </w:rPr>
      </w:pPr>
      <w:r w:rsidRPr="00950AD2">
        <w:rPr>
          <w:i/>
        </w:rPr>
        <w:t xml:space="preserve">Cycle 2: Extract and examine patient data relating to smoking status, and set reminder “red flags” for </w:t>
      </w:r>
      <w:r w:rsidR="00B46E63">
        <w:rPr>
          <w:i/>
        </w:rPr>
        <w:t>patients who smoke</w:t>
      </w:r>
      <w:r w:rsidRPr="00950AD2">
        <w:rPr>
          <w:i/>
        </w:rPr>
        <w:t xml:space="preserve"> and patients with “unknown status” recorded</w:t>
      </w:r>
    </w:p>
    <w:p w:rsidR="00950AD2" w:rsidRPr="00950AD2" w:rsidRDefault="00950AD2" w:rsidP="00950AD2">
      <w:pPr>
        <w:rPr>
          <w:i/>
        </w:rPr>
      </w:pPr>
      <w:r w:rsidRPr="00950AD2">
        <w:rPr>
          <w:i/>
        </w:rPr>
        <w:t xml:space="preserve">Cycle 3: Assess the practice environment ensuring it is conducive to patients making quit attempts </w:t>
      </w:r>
    </w:p>
    <w:p w:rsidR="00950AD2" w:rsidRPr="00950AD2" w:rsidRDefault="00950AD2" w:rsidP="00950AD2">
      <w:pPr>
        <w:rPr>
          <w:i/>
        </w:rPr>
      </w:pPr>
      <w:r w:rsidRPr="00950AD2">
        <w:rPr>
          <w:i/>
        </w:rPr>
        <w:t>Cycle 4: Implement the 3</w:t>
      </w:r>
      <w:r w:rsidR="00F75941">
        <w:rPr>
          <w:i/>
        </w:rPr>
        <w:t>-</w:t>
      </w:r>
      <w:r w:rsidRPr="00950AD2">
        <w:rPr>
          <w:i/>
        </w:rPr>
        <w:t xml:space="preserve">step brief advice (Ask, Advise, Help) model on 20 current </w:t>
      </w:r>
      <w:r w:rsidR="00B46E63">
        <w:rPr>
          <w:i/>
        </w:rPr>
        <w:t>patients who smoke</w:t>
      </w:r>
      <w:r w:rsidRPr="00950AD2">
        <w:rPr>
          <w:i/>
        </w:rPr>
        <w:t xml:space="preserve"> </w:t>
      </w:r>
    </w:p>
    <w:p w:rsidR="009A53EB" w:rsidRDefault="009A53EB" w:rsidP="00950AD2">
      <w:pPr>
        <w:pStyle w:val="Heading2"/>
        <w:rPr>
          <w:b/>
        </w:rPr>
      </w:pPr>
      <w:r>
        <w:rPr>
          <w:b/>
        </w:rPr>
        <w:t xml:space="preserve">Who can complete the PDSA? </w:t>
      </w:r>
    </w:p>
    <w:p w:rsidR="00A92489" w:rsidRPr="00A92489" w:rsidRDefault="009A53EB" w:rsidP="00A92489">
      <w:r>
        <w:t>GPs or any other member of the practice team can complete the PDSA. However, only GPs will receive CPD points under the RACGP QI&amp;CPD program.</w:t>
      </w:r>
      <w:r w:rsidRPr="00A92489">
        <w:t xml:space="preserve"> The PDSA can also be undertaken as a practice team, but each GP will need to register individually to receive CPD points. </w:t>
      </w:r>
    </w:p>
    <w:p w:rsidR="00950AD2" w:rsidRDefault="00950AD2" w:rsidP="00950AD2">
      <w:pPr>
        <w:pStyle w:val="Heading2"/>
        <w:rPr>
          <w:b/>
        </w:rPr>
      </w:pPr>
      <w:r w:rsidRPr="00950AD2">
        <w:rPr>
          <w:b/>
        </w:rPr>
        <w:t xml:space="preserve">Are there any pre-requisites to completing the PDSA? </w:t>
      </w:r>
    </w:p>
    <w:p w:rsidR="00950AD2" w:rsidRDefault="00950AD2" w:rsidP="00950AD2">
      <w:r>
        <w:t xml:space="preserve">To complete the PDSA, GPs must have either completed Quit’s online brief advice training or </w:t>
      </w:r>
      <w:r w:rsidR="00B46E63">
        <w:t xml:space="preserve">have previously </w:t>
      </w:r>
      <w:r>
        <w:t xml:space="preserve">attended Quit’s face-to-face brief advice training (please note the face-to-face training is no longer available). </w:t>
      </w:r>
    </w:p>
    <w:p w:rsidR="00950AD2" w:rsidRPr="00950AD2" w:rsidRDefault="00950AD2" w:rsidP="00950AD2">
      <w:r>
        <w:t xml:space="preserve">To access Quit’s brief advice online training, visit: </w:t>
      </w:r>
      <w:hyperlink r:id="rId6" w:history="1">
        <w:r w:rsidRPr="0072420E">
          <w:rPr>
            <w:rStyle w:val="Hyperlink"/>
          </w:rPr>
          <w:t>https://education.quit.org.au</w:t>
        </w:r>
      </w:hyperlink>
      <w:r>
        <w:t xml:space="preserve">  </w:t>
      </w:r>
    </w:p>
    <w:p w:rsidR="000A4014" w:rsidRDefault="000A4014" w:rsidP="00D87D11">
      <w:pPr>
        <w:pStyle w:val="Heading2"/>
        <w:rPr>
          <w:b/>
        </w:rPr>
      </w:pPr>
      <w:r w:rsidRPr="00D87D11">
        <w:rPr>
          <w:b/>
        </w:rPr>
        <w:t xml:space="preserve">Does the PDSA attract RACGP QI&amp;CPD points? </w:t>
      </w:r>
    </w:p>
    <w:p w:rsidR="009A53EB" w:rsidRPr="00BB412A" w:rsidRDefault="009A53EB" w:rsidP="009A53EB">
      <w:r w:rsidRPr="00BB412A">
        <w:t xml:space="preserve">The PDSA cycle is accredited by the RACGP and attracts </w:t>
      </w:r>
      <w:r w:rsidRPr="00BB412A">
        <w:rPr>
          <w:b/>
        </w:rPr>
        <w:t xml:space="preserve">40 </w:t>
      </w:r>
      <w:r w:rsidRPr="00BB412A">
        <w:t>Category 1 points.</w:t>
      </w:r>
      <w:r w:rsidRPr="00BB412A">
        <w:rPr>
          <w:b/>
        </w:rPr>
        <w:t xml:space="preserve"> </w:t>
      </w:r>
    </w:p>
    <w:p w:rsidR="000A4014" w:rsidRDefault="000A4014" w:rsidP="00D87D11">
      <w:pPr>
        <w:pStyle w:val="Heading2"/>
        <w:rPr>
          <w:b/>
        </w:rPr>
      </w:pPr>
      <w:r w:rsidRPr="00D87D11">
        <w:rPr>
          <w:b/>
        </w:rPr>
        <w:t xml:space="preserve">How long does the PDSA take to complete? </w:t>
      </w:r>
    </w:p>
    <w:p w:rsidR="009A53EB" w:rsidRPr="009A53EB" w:rsidRDefault="009A53EB" w:rsidP="009A53EB">
      <w:r w:rsidRPr="009A53EB">
        <w:t xml:space="preserve">Completion of the PDSA is self-paced and is designed to be completed over a period of 15 weeks. You can log in and out as often as you need. </w:t>
      </w:r>
    </w:p>
    <w:p w:rsidR="000A4014" w:rsidRPr="00D87D11" w:rsidRDefault="000A4014" w:rsidP="00D87D11">
      <w:pPr>
        <w:pStyle w:val="Heading2"/>
        <w:rPr>
          <w:b/>
        </w:rPr>
      </w:pPr>
      <w:r w:rsidRPr="00D87D11">
        <w:rPr>
          <w:b/>
        </w:rPr>
        <w:t xml:space="preserve">How do I access </w:t>
      </w:r>
      <w:r w:rsidR="00F73463">
        <w:rPr>
          <w:b/>
        </w:rPr>
        <w:t xml:space="preserve">and complete </w:t>
      </w:r>
      <w:r w:rsidRPr="00D87D11">
        <w:rPr>
          <w:b/>
        </w:rPr>
        <w:t xml:space="preserve">the PDSA? </w:t>
      </w:r>
    </w:p>
    <w:p w:rsidR="00F73463" w:rsidRPr="00F73463" w:rsidRDefault="00F73463" w:rsidP="00F73463">
      <w:pPr>
        <w:pStyle w:val="ListParagraph"/>
        <w:numPr>
          <w:ilvl w:val="0"/>
          <w:numId w:val="2"/>
        </w:numPr>
      </w:pPr>
      <w:r w:rsidRPr="00F73463">
        <w:t xml:space="preserve">Visit </w:t>
      </w:r>
      <w:hyperlink r:id="rId7" w:history="1">
        <w:r w:rsidRPr="00F73463">
          <w:rPr>
            <w:rStyle w:val="Hyperlink"/>
          </w:rPr>
          <w:t>https://education.quit.org.au/</w:t>
        </w:r>
      </w:hyperlink>
      <w:r w:rsidRPr="00F73463">
        <w:t xml:space="preserve"> </w:t>
      </w:r>
    </w:p>
    <w:p w:rsidR="00F73463" w:rsidRPr="00F73463" w:rsidRDefault="00F73463" w:rsidP="00F73463">
      <w:pPr>
        <w:pStyle w:val="ListParagraph"/>
        <w:numPr>
          <w:ilvl w:val="0"/>
          <w:numId w:val="2"/>
        </w:numPr>
      </w:pPr>
      <w:r w:rsidRPr="00F73463">
        <w:t xml:space="preserve">Click on </w:t>
      </w:r>
      <w:r w:rsidR="00C008AC">
        <w:rPr>
          <w:iCs/>
        </w:rPr>
        <w:t>“Online</w:t>
      </w:r>
      <w:r w:rsidR="00353B39">
        <w:rPr>
          <w:iCs/>
        </w:rPr>
        <w:t xml:space="preserve"> training for health professionals”</w:t>
      </w:r>
      <w:r w:rsidR="00E96D40">
        <w:rPr>
          <w:iCs/>
        </w:rPr>
        <w:t xml:space="preserve">. </w:t>
      </w:r>
      <w:r w:rsidR="00353B39">
        <w:rPr>
          <w:iCs/>
        </w:rPr>
        <w:t xml:space="preserve"> </w:t>
      </w:r>
      <w:r w:rsidR="00C008AC">
        <w:rPr>
          <w:iCs/>
        </w:rPr>
        <w:t xml:space="preserve"> </w:t>
      </w:r>
    </w:p>
    <w:p w:rsidR="00F73463" w:rsidRPr="00F73463" w:rsidRDefault="00BB412A" w:rsidP="00F73463">
      <w:pPr>
        <w:pStyle w:val="ListParagraph"/>
        <w:numPr>
          <w:ilvl w:val="0"/>
          <w:numId w:val="2"/>
        </w:numPr>
      </w:pPr>
      <w:r>
        <w:t>R</w:t>
      </w:r>
      <w:r w:rsidR="00F73463" w:rsidRPr="00F73463">
        <w:t xml:space="preserve">egister your details in the registration form (if you haven’t already done so when registering for Quit’s online </w:t>
      </w:r>
      <w:r w:rsidR="00F73463" w:rsidRPr="00F73463">
        <w:rPr>
          <w:i/>
          <w:iCs/>
        </w:rPr>
        <w:t xml:space="preserve">brief advice training for </w:t>
      </w:r>
      <w:r w:rsidR="00F75941">
        <w:rPr>
          <w:i/>
          <w:iCs/>
        </w:rPr>
        <w:t>g</w:t>
      </w:r>
      <w:r w:rsidR="00F73463" w:rsidRPr="00F73463">
        <w:rPr>
          <w:i/>
          <w:iCs/>
        </w:rPr>
        <w:t xml:space="preserve">eneral </w:t>
      </w:r>
      <w:r w:rsidR="00F75941">
        <w:rPr>
          <w:i/>
          <w:iCs/>
        </w:rPr>
        <w:t>p</w:t>
      </w:r>
      <w:r w:rsidR="00F73463" w:rsidRPr="00F73463">
        <w:rPr>
          <w:i/>
          <w:iCs/>
        </w:rPr>
        <w:t>ractitioners</w:t>
      </w:r>
      <w:r w:rsidR="00F73463" w:rsidRPr="00F73463">
        <w:t xml:space="preserve">).  </w:t>
      </w:r>
    </w:p>
    <w:p w:rsidR="00E96D40" w:rsidRDefault="00F73463" w:rsidP="00F73463">
      <w:pPr>
        <w:pStyle w:val="ListParagraph"/>
        <w:numPr>
          <w:ilvl w:val="0"/>
          <w:numId w:val="2"/>
        </w:numPr>
      </w:pPr>
      <w:r w:rsidRPr="00F73463">
        <w:t xml:space="preserve">Once registered, click on </w:t>
      </w:r>
      <w:r w:rsidR="00353B39">
        <w:t xml:space="preserve">the </w:t>
      </w:r>
      <w:r w:rsidR="00353B39" w:rsidRPr="00F75941">
        <w:t>“</w:t>
      </w:r>
      <w:r w:rsidRPr="00F75941">
        <w:rPr>
          <w:iCs/>
        </w:rPr>
        <w:t>PDSA cycle for General Practitioners</w:t>
      </w:r>
      <w:r w:rsidR="00353B39" w:rsidRPr="00F75941">
        <w:t>”</w:t>
      </w:r>
      <w:r w:rsidR="00353B39">
        <w:t xml:space="preserve"> course link</w:t>
      </w:r>
      <w:r w:rsidR="00E96D40">
        <w:t xml:space="preserve">. </w:t>
      </w:r>
    </w:p>
    <w:p w:rsidR="00F73463" w:rsidRPr="00F73463" w:rsidRDefault="006D38D0" w:rsidP="00F73463">
      <w:pPr>
        <w:pStyle w:val="ListParagraph"/>
        <w:numPr>
          <w:ilvl w:val="0"/>
          <w:numId w:val="2"/>
        </w:numPr>
      </w:pPr>
      <w:r>
        <w:t>Follow the prompts to c</w:t>
      </w:r>
      <w:r w:rsidR="00F73463" w:rsidRPr="00F73463">
        <w:t xml:space="preserve">omplete the </w:t>
      </w:r>
      <w:r w:rsidR="00F73463" w:rsidRPr="00F75941">
        <w:rPr>
          <w:iCs/>
        </w:rPr>
        <w:t>pre-PDSA questionnaire</w:t>
      </w:r>
      <w:r w:rsidR="00F73463" w:rsidRPr="00F75941">
        <w:t>.</w:t>
      </w:r>
      <w:r w:rsidR="00F73463" w:rsidRPr="00F73463">
        <w:t xml:space="preserve"> </w:t>
      </w:r>
    </w:p>
    <w:p w:rsidR="00F73463" w:rsidRDefault="00F73463" w:rsidP="00F73463">
      <w:pPr>
        <w:pStyle w:val="ListParagraph"/>
        <w:numPr>
          <w:ilvl w:val="0"/>
          <w:numId w:val="2"/>
        </w:numPr>
      </w:pPr>
      <w:r w:rsidRPr="00F73463">
        <w:t xml:space="preserve">Work your way through all topics and activities within Cycles 1-4. </w:t>
      </w:r>
    </w:p>
    <w:p w:rsidR="00F73463" w:rsidRPr="00F75941" w:rsidRDefault="00F73463" w:rsidP="00F73463">
      <w:pPr>
        <w:pStyle w:val="ListParagraph"/>
        <w:numPr>
          <w:ilvl w:val="0"/>
          <w:numId w:val="2"/>
        </w:numPr>
      </w:pPr>
      <w:r w:rsidRPr="00F73463">
        <w:t xml:space="preserve">Complete the </w:t>
      </w:r>
      <w:r w:rsidRPr="00F75941">
        <w:rPr>
          <w:iCs/>
        </w:rPr>
        <w:t>post-PDSA questionnaire</w:t>
      </w:r>
      <w:r w:rsidRPr="00F75941">
        <w:t xml:space="preserve">. </w:t>
      </w:r>
    </w:p>
    <w:p w:rsidR="00E96D40" w:rsidRPr="00E96D40" w:rsidRDefault="00E96D40" w:rsidP="00E96D40">
      <w:pPr>
        <w:pStyle w:val="Heading2"/>
        <w:rPr>
          <w:b/>
        </w:rPr>
      </w:pPr>
      <w:r w:rsidRPr="00D87D11">
        <w:rPr>
          <w:b/>
        </w:rPr>
        <w:t xml:space="preserve">How do I </w:t>
      </w:r>
      <w:r w:rsidR="00DF20FC">
        <w:rPr>
          <w:b/>
        </w:rPr>
        <w:t>access</w:t>
      </w:r>
      <w:r>
        <w:rPr>
          <w:b/>
        </w:rPr>
        <w:t xml:space="preserve"> my certificate? </w:t>
      </w:r>
      <w:r w:rsidRPr="00D87D11">
        <w:rPr>
          <w:b/>
        </w:rPr>
        <w:t xml:space="preserve"> </w:t>
      </w:r>
    </w:p>
    <w:p w:rsidR="00EC2A74" w:rsidRPr="00F73463" w:rsidRDefault="00EC2A74" w:rsidP="00E96D40">
      <w:pPr>
        <w:pStyle w:val="ListParagraph"/>
        <w:numPr>
          <w:ilvl w:val="0"/>
          <w:numId w:val="12"/>
        </w:numPr>
      </w:pPr>
      <w:r>
        <w:t xml:space="preserve">From your course page, </w:t>
      </w:r>
      <w:r w:rsidR="00E96D40">
        <w:t xml:space="preserve">click on the “Dashboard” link on the top </w:t>
      </w:r>
      <w:r w:rsidR="00F75941">
        <w:t>right-hand</w:t>
      </w:r>
      <w:r w:rsidR="00E96D40">
        <w:t xml:space="preserve"> side of your course page to take you to your learner dashboard. </w:t>
      </w:r>
    </w:p>
    <w:p w:rsidR="00E96D40" w:rsidRDefault="00F73463" w:rsidP="00E96D40">
      <w:pPr>
        <w:pStyle w:val="ListParagraph"/>
        <w:numPr>
          <w:ilvl w:val="0"/>
          <w:numId w:val="12"/>
        </w:numPr>
      </w:pPr>
      <w:r>
        <w:t xml:space="preserve">Your certificate </w:t>
      </w:r>
      <w:r w:rsidR="00E96D40">
        <w:t xml:space="preserve">will appear </w:t>
      </w:r>
      <w:r>
        <w:t xml:space="preserve">as a downloadable link under </w:t>
      </w:r>
      <w:r w:rsidR="00E96D40">
        <w:t>“</w:t>
      </w:r>
      <w:r w:rsidRPr="00F75941">
        <w:t>Completed courses</w:t>
      </w:r>
      <w:r w:rsidR="00E96D40">
        <w:rPr>
          <w:i/>
        </w:rPr>
        <w:t>”</w:t>
      </w:r>
      <w:r>
        <w:rPr>
          <w:i/>
        </w:rPr>
        <w:t xml:space="preserve"> </w:t>
      </w:r>
      <w:r>
        <w:t xml:space="preserve">on the </w:t>
      </w:r>
      <w:r w:rsidR="00BB412A">
        <w:t>right-hand</w:t>
      </w:r>
      <w:r>
        <w:t xml:space="preserve"> side of </w:t>
      </w:r>
      <w:r w:rsidR="006D38D0">
        <w:t xml:space="preserve">your learner </w:t>
      </w:r>
      <w:r w:rsidR="00EC2A74">
        <w:t>d</w:t>
      </w:r>
      <w:r w:rsidR="006D38D0">
        <w:t>ashboard</w:t>
      </w:r>
      <w:r>
        <w:t xml:space="preserve">. </w:t>
      </w:r>
    </w:p>
    <w:p w:rsidR="00F73463" w:rsidRPr="00F73463" w:rsidRDefault="00E96D40" w:rsidP="00E96D40">
      <w:pPr>
        <w:pStyle w:val="ListParagraph"/>
        <w:numPr>
          <w:ilvl w:val="0"/>
          <w:numId w:val="12"/>
        </w:numPr>
      </w:pPr>
      <w:r>
        <w:t xml:space="preserve">Click on the course link to view and download your certificate. </w:t>
      </w:r>
      <w:r w:rsidR="00F73463">
        <w:t>Quit will forward you</w:t>
      </w:r>
      <w:r w:rsidR="00A86A4A">
        <w:t>r</w:t>
      </w:r>
      <w:r w:rsidR="00F73463">
        <w:t xml:space="preserve"> certificate to the RACGP for allocation </w:t>
      </w:r>
      <w:r w:rsidR="00BB412A">
        <w:t>of</w:t>
      </w:r>
      <w:r w:rsidR="00F73463">
        <w:t xml:space="preserve"> your points. </w:t>
      </w:r>
    </w:p>
    <w:p w:rsidR="00F73463" w:rsidRPr="00F73463" w:rsidRDefault="00F73463" w:rsidP="00F73463">
      <w:pPr>
        <w:pStyle w:val="Heading2"/>
        <w:rPr>
          <w:b/>
        </w:rPr>
      </w:pPr>
      <w:r w:rsidRPr="00F73463">
        <w:rPr>
          <w:b/>
        </w:rPr>
        <w:t xml:space="preserve">Where do I go for help or more information? </w:t>
      </w:r>
    </w:p>
    <w:p w:rsidR="00BB412A" w:rsidRPr="00B46E63" w:rsidRDefault="00010B48" w:rsidP="00010B48">
      <w:r w:rsidRPr="00B46E63">
        <w:t xml:space="preserve">Watch our </w:t>
      </w:r>
      <w:r w:rsidR="00B46E63" w:rsidRPr="00B46E63">
        <w:t xml:space="preserve">short </w:t>
      </w:r>
      <w:r w:rsidRPr="00B46E63">
        <w:t>webinar on completing the PDSA cycle</w:t>
      </w:r>
      <w:r w:rsidR="00B46E63" w:rsidRPr="00B46E63">
        <w:t xml:space="preserve">, or you can contact us via: </w:t>
      </w:r>
    </w:p>
    <w:p w:rsidR="00010B48" w:rsidRPr="00B46E63" w:rsidRDefault="00BB412A" w:rsidP="00B46E63">
      <w:pPr>
        <w:pStyle w:val="ListParagraph"/>
        <w:numPr>
          <w:ilvl w:val="0"/>
          <w:numId w:val="11"/>
        </w:numPr>
      </w:pPr>
      <w:r w:rsidRPr="00B46E63">
        <w:t>E</w:t>
      </w:r>
      <w:r w:rsidR="00F73463" w:rsidRPr="00B46E63">
        <w:t>mail</w:t>
      </w:r>
      <w:r w:rsidR="00B46E63">
        <w:t xml:space="preserve">: </w:t>
      </w:r>
      <w:r w:rsidR="00F73463" w:rsidRPr="00B46E63">
        <w:t xml:space="preserve"> </w:t>
      </w:r>
      <w:hyperlink r:id="rId8" w:history="1">
        <w:r w:rsidR="00F73463" w:rsidRPr="00B46E63">
          <w:rPr>
            <w:rStyle w:val="Hyperlink"/>
          </w:rPr>
          <w:t>Quit.HP@cancervic.org.au</w:t>
        </w:r>
      </w:hyperlink>
    </w:p>
    <w:p w:rsidR="00B46E63" w:rsidRPr="00B46E63" w:rsidRDefault="00B46E63" w:rsidP="00B46E63">
      <w:pPr>
        <w:pStyle w:val="ListParagraph"/>
        <w:numPr>
          <w:ilvl w:val="0"/>
          <w:numId w:val="11"/>
        </w:numPr>
      </w:pPr>
      <w:r w:rsidRPr="00B46E63">
        <w:t>Phone</w:t>
      </w:r>
      <w:r>
        <w:t xml:space="preserve">: (03) 9514 6465  </w:t>
      </w:r>
    </w:p>
    <w:p w:rsidR="00CB2240" w:rsidRDefault="0059576B"/>
    <w:sectPr w:rsidR="00C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CF7"/>
    <w:multiLevelType w:val="hybridMultilevel"/>
    <w:tmpl w:val="97B4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D9A"/>
    <w:multiLevelType w:val="hybridMultilevel"/>
    <w:tmpl w:val="E7B82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EB7"/>
    <w:multiLevelType w:val="hybridMultilevel"/>
    <w:tmpl w:val="F75E6C48"/>
    <w:lvl w:ilvl="0" w:tplc="67F4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21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172EF"/>
    <w:multiLevelType w:val="hybridMultilevel"/>
    <w:tmpl w:val="17BE1690"/>
    <w:lvl w:ilvl="0" w:tplc="FA46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7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C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C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08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A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41521"/>
    <w:multiLevelType w:val="hybridMultilevel"/>
    <w:tmpl w:val="A9B05B38"/>
    <w:lvl w:ilvl="0" w:tplc="10F4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3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80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86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CE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2B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AE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6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86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91F0F"/>
    <w:multiLevelType w:val="hybridMultilevel"/>
    <w:tmpl w:val="7E1A1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414E"/>
    <w:multiLevelType w:val="hybridMultilevel"/>
    <w:tmpl w:val="05BC5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DBF"/>
    <w:multiLevelType w:val="hybridMultilevel"/>
    <w:tmpl w:val="04E4D8D4"/>
    <w:lvl w:ilvl="0" w:tplc="E644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916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2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2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4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4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4C169A"/>
    <w:multiLevelType w:val="hybridMultilevel"/>
    <w:tmpl w:val="B2423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83446"/>
    <w:multiLevelType w:val="hybridMultilevel"/>
    <w:tmpl w:val="5E4E6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134CB"/>
    <w:multiLevelType w:val="hybridMultilevel"/>
    <w:tmpl w:val="2930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470C7"/>
    <w:multiLevelType w:val="hybridMultilevel"/>
    <w:tmpl w:val="AFEA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48"/>
    <w:rsid w:val="00010B48"/>
    <w:rsid w:val="000202F2"/>
    <w:rsid w:val="000A4014"/>
    <w:rsid w:val="001C0704"/>
    <w:rsid w:val="00353B39"/>
    <w:rsid w:val="00506D05"/>
    <w:rsid w:val="00561323"/>
    <w:rsid w:val="0059576B"/>
    <w:rsid w:val="006D38D0"/>
    <w:rsid w:val="00792C73"/>
    <w:rsid w:val="008C26A9"/>
    <w:rsid w:val="008C3CAE"/>
    <w:rsid w:val="00931F11"/>
    <w:rsid w:val="00950AD2"/>
    <w:rsid w:val="009A53EB"/>
    <w:rsid w:val="00A04D93"/>
    <w:rsid w:val="00A84FF4"/>
    <w:rsid w:val="00A86A4A"/>
    <w:rsid w:val="00A92489"/>
    <w:rsid w:val="00B46E63"/>
    <w:rsid w:val="00BB412A"/>
    <w:rsid w:val="00C008AC"/>
    <w:rsid w:val="00D87D11"/>
    <w:rsid w:val="00DF20FC"/>
    <w:rsid w:val="00E96D40"/>
    <w:rsid w:val="00EC2A74"/>
    <w:rsid w:val="00F73463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3E2"/>
  <w15:chartTrackingRefBased/>
  <w15:docId w15:val="{9243B765-0C11-409E-B2BB-285CCB3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B48"/>
  </w:style>
  <w:style w:type="paragraph" w:styleId="Heading1">
    <w:name w:val="heading 1"/>
    <w:basedOn w:val="Normal"/>
    <w:next w:val="Normal"/>
    <w:link w:val="Heading1Char"/>
    <w:uiPriority w:val="9"/>
    <w:qFormat/>
    <w:rsid w:val="00506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87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t.HP@cancervi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qui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quit.org.au" TargetMode="External"/><Relationship Id="rId5" Type="http://schemas.openxmlformats.org/officeDocument/2006/relationships/hyperlink" Target="https://www.racgp.org.au/education/professional-development/qi-cpd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Just</dc:creator>
  <cp:keywords/>
  <dc:description/>
  <cp:lastModifiedBy>Suzanne Trew</cp:lastModifiedBy>
  <cp:revision>1</cp:revision>
  <dcterms:created xsi:type="dcterms:W3CDTF">2019-11-08T02:52:00Z</dcterms:created>
  <dcterms:modified xsi:type="dcterms:W3CDTF">2019-11-08T02:52:00Z</dcterms:modified>
</cp:coreProperties>
</file>